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B6F69" w14:textId="77777777" w:rsidR="008F2873" w:rsidRPr="008F2873" w:rsidRDefault="008F2873" w:rsidP="008F2873">
      <w:pPr>
        <w:pStyle w:val="Ttulo1"/>
        <w:jc w:val="center"/>
        <w:rPr>
          <w:color w:val="auto"/>
          <w:kern w:val="36"/>
          <w:sz w:val="48"/>
          <w:szCs w:val="48"/>
        </w:rPr>
      </w:pPr>
      <w:r w:rsidRPr="008F2873">
        <w:rPr>
          <w:color w:val="auto"/>
        </w:rPr>
        <w:t>Plan de Riesgos Culturales y Territoriales</w:t>
      </w:r>
    </w:p>
    <w:p w14:paraId="05FDD582" w14:textId="77777777" w:rsidR="008F2873" w:rsidRDefault="008F2873" w:rsidP="008F2873">
      <w:pPr>
        <w:pStyle w:val="NormalWeb"/>
      </w:pPr>
      <w:r>
        <w:rPr>
          <w:rStyle w:val="Textoennegrita"/>
        </w:rPr>
        <w:t>1. Propósito del plan de riesgos</w:t>
      </w:r>
    </w:p>
    <w:p w14:paraId="75F47ED7" w14:textId="77777777" w:rsidR="008F2873" w:rsidRDefault="008F2873" w:rsidP="008F2873">
      <w:pPr>
        <w:pStyle w:val="NormalWeb"/>
        <w:numPr>
          <w:ilvl w:val="0"/>
          <w:numId w:val="5"/>
        </w:numPr>
        <w:spacing w:line="480" w:lineRule="auto"/>
      </w:pPr>
      <w:r>
        <w:rPr>
          <w:rStyle w:val="Textoennegrita"/>
        </w:rPr>
        <w:t>Explicación:</w:t>
      </w:r>
      <w:r>
        <w:t xml:space="preserve"> Permite identificar posibles problemas que pueden afectar el proyecto y definir cómo se pueden prevenir o manejar. En el contexto cultural y territorial, incluye tanto riesgos técnicos como sociales y ambientales.</w:t>
      </w:r>
    </w:p>
    <w:p w14:paraId="3FB2FB29" w14:textId="77777777" w:rsidR="008F2873" w:rsidRDefault="008F2873" w:rsidP="008F2873">
      <w:pPr>
        <w:pStyle w:val="NormalWeb"/>
        <w:numPr>
          <w:ilvl w:val="0"/>
          <w:numId w:val="5"/>
        </w:numPr>
        <w:spacing w:line="480" w:lineRule="auto"/>
      </w:pPr>
      <w:r>
        <w:rPr>
          <w:rStyle w:val="Textoennegrita"/>
        </w:rPr>
        <w:t>Ejemplo:</w:t>
      </w:r>
      <w:r>
        <w:t xml:space="preserve"> Este plan asegura que el proyecto anticipe retrasos por transporte fluvial, baja participación por festividades o conflictos territoriales.</w:t>
      </w:r>
    </w:p>
    <w:p w14:paraId="505A33E1" w14:textId="77777777" w:rsidR="008F2873" w:rsidRDefault="008F2873" w:rsidP="008F2873">
      <w:pPr>
        <w:pStyle w:val="NormalWeb"/>
        <w:spacing w:line="480" w:lineRule="auto"/>
      </w:pPr>
      <w:r>
        <w:rPr>
          <w:rStyle w:val="Textoennegrita"/>
        </w:rPr>
        <w:t>2. Identificación de riesgos</w:t>
      </w:r>
    </w:p>
    <w:p w14:paraId="2F850C5E" w14:textId="77777777" w:rsidR="008F2873" w:rsidRDefault="008F2873" w:rsidP="008F2873">
      <w:pPr>
        <w:pStyle w:val="NormalWeb"/>
        <w:numPr>
          <w:ilvl w:val="0"/>
          <w:numId w:val="6"/>
        </w:numPr>
        <w:spacing w:line="480" w:lineRule="auto"/>
      </w:pPr>
      <w:r>
        <w:rPr>
          <w:rStyle w:val="Textoennegrita"/>
        </w:rPr>
        <w:t>Explicación:</w:t>
      </w:r>
      <w:r>
        <w:t xml:space="preserve"> Consiste en listar los riesgos potenciales que pueden presentarse durante la ejecución.</w:t>
      </w:r>
    </w:p>
    <w:p w14:paraId="1E382C85" w14:textId="77777777" w:rsidR="008F2873" w:rsidRDefault="008F2873" w:rsidP="008F2873">
      <w:pPr>
        <w:pStyle w:val="NormalWeb"/>
        <w:numPr>
          <w:ilvl w:val="0"/>
          <w:numId w:val="6"/>
        </w:numPr>
        <w:spacing w:line="480" w:lineRule="auto"/>
      </w:pPr>
      <w:r>
        <w:rPr>
          <w:rStyle w:val="Textoennegrita"/>
        </w:rPr>
        <w:t>Ejemplo:</w:t>
      </w:r>
    </w:p>
    <w:p w14:paraId="6C10B0E6" w14:textId="77777777" w:rsidR="008F2873" w:rsidRDefault="008F2873" w:rsidP="008F2873">
      <w:pPr>
        <w:pStyle w:val="NormalWeb"/>
        <w:numPr>
          <w:ilvl w:val="1"/>
          <w:numId w:val="6"/>
        </w:numPr>
        <w:spacing w:line="480" w:lineRule="auto"/>
      </w:pPr>
      <w:r>
        <w:t>Retrasos en desembolsos institucionales.</w:t>
      </w:r>
    </w:p>
    <w:p w14:paraId="575F4570" w14:textId="77777777" w:rsidR="008F2873" w:rsidRDefault="008F2873" w:rsidP="008F2873">
      <w:pPr>
        <w:pStyle w:val="NormalWeb"/>
        <w:numPr>
          <w:ilvl w:val="1"/>
          <w:numId w:val="6"/>
        </w:numPr>
        <w:spacing w:line="480" w:lineRule="auto"/>
      </w:pPr>
      <w:r>
        <w:t>Conflictos por uso de espacios comunitarios.</w:t>
      </w:r>
    </w:p>
    <w:p w14:paraId="7CF7CA74" w14:textId="77777777" w:rsidR="008F2873" w:rsidRDefault="008F2873" w:rsidP="008F2873">
      <w:pPr>
        <w:pStyle w:val="NormalWeb"/>
        <w:numPr>
          <w:ilvl w:val="1"/>
          <w:numId w:val="6"/>
        </w:numPr>
        <w:spacing w:line="480" w:lineRule="auto"/>
      </w:pPr>
      <w:r>
        <w:t>Baja asistencia a talleres por festividades locales.</w:t>
      </w:r>
    </w:p>
    <w:p w14:paraId="491EAC24" w14:textId="77777777" w:rsidR="008F2873" w:rsidRDefault="008F2873" w:rsidP="008F2873">
      <w:pPr>
        <w:pStyle w:val="NormalWeb"/>
        <w:numPr>
          <w:ilvl w:val="1"/>
          <w:numId w:val="6"/>
        </w:numPr>
        <w:spacing w:line="480" w:lineRule="auto"/>
      </w:pPr>
      <w:r>
        <w:t>Problemas de conectividad y transporte en zonas rurales.</w:t>
      </w:r>
    </w:p>
    <w:p w14:paraId="38BEBF6A" w14:textId="77777777" w:rsidR="008F2873" w:rsidRDefault="008F2873" w:rsidP="008F2873">
      <w:pPr>
        <w:pStyle w:val="NormalWeb"/>
        <w:numPr>
          <w:ilvl w:val="1"/>
          <w:numId w:val="6"/>
        </w:numPr>
        <w:spacing w:line="480" w:lineRule="auto"/>
      </w:pPr>
      <w:r>
        <w:t>Deslegitimación cultural si no se consulta con sabedores.</w:t>
      </w:r>
    </w:p>
    <w:p w14:paraId="08C21349" w14:textId="77777777" w:rsidR="008F2873" w:rsidRDefault="008F2873" w:rsidP="008F2873">
      <w:pPr>
        <w:pStyle w:val="NormalWeb"/>
        <w:spacing w:line="480" w:lineRule="auto"/>
      </w:pPr>
      <w:r>
        <w:rPr>
          <w:rStyle w:val="Textoennegrita"/>
        </w:rPr>
        <w:t>3. Análisis de riesgos</w:t>
      </w:r>
    </w:p>
    <w:p w14:paraId="186A9FD4" w14:textId="77777777" w:rsidR="008F2873" w:rsidRDefault="008F2873" w:rsidP="008F2873">
      <w:pPr>
        <w:pStyle w:val="NormalWeb"/>
        <w:numPr>
          <w:ilvl w:val="0"/>
          <w:numId w:val="7"/>
        </w:numPr>
        <w:spacing w:line="480" w:lineRule="auto"/>
      </w:pPr>
      <w:r>
        <w:rPr>
          <w:rStyle w:val="Textoennegrita"/>
        </w:rPr>
        <w:t>Explicación:</w:t>
      </w:r>
      <w:r>
        <w:t xml:space="preserve"> Se valora la probabilidad de que ocurra un riesgo y el impacto que tendría en el proyecto.</w:t>
      </w:r>
    </w:p>
    <w:p w14:paraId="4D82465B" w14:textId="77777777" w:rsidR="008F2873" w:rsidRDefault="008F2873" w:rsidP="008F2873">
      <w:pPr>
        <w:pStyle w:val="NormalWeb"/>
        <w:numPr>
          <w:ilvl w:val="0"/>
          <w:numId w:val="7"/>
        </w:numPr>
        <w:spacing w:line="480" w:lineRule="auto"/>
      </w:pPr>
      <w:r>
        <w:rPr>
          <w:rStyle w:val="Textoennegrita"/>
        </w:rPr>
        <w:t>Ejemplo:</w:t>
      </w:r>
    </w:p>
    <w:p w14:paraId="19D1EFB2" w14:textId="77777777" w:rsidR="008F2873" w:rsidRDefault="008F2873" w:rsidP="008F2873">
      <w:pPr>
        <w:pStyle w:val="NormalWeb"/>
        <w:numPr>
          <w:ilvl w:val="1"/>
          <w:numId w:val="7"/>
        </w:numPr>
        <w:spacing w:line="480" w:lineRule="auto"/>
      </w:pPr>
      <w:r>
        <w:lastRenderedPageBreak/>
        <w:t>Baja participación en talleres → Probabilidad: Media / Impacto: Alto.</w:t>
      </w:r>
    </w:p>
    <w:p w14:paraId="25E542F4" w14:textId="77777777" w:rsidR="008F2873" w:rsidRDefault="008F2873" w:rsidP="008F2873">
      <w:pPr>
        <w:pStyle w:val="NormalWeb"/>
        <w:numPr>
          <w:ilvl w:val="1"/>
          <w:numId w:val="7"/>
        </w:numPr>
        <w:spacing w:line="480" w:lineRule="auto"/>
      </w:pPr>
      <w:r>
        <w:t>Retrasos en desembolsos → Probabilidad: Alta / Impacto: Alto.</w:t>
      </w:r>
    </w:p>
    <w:p w14:paraId="67464276" w14:textId="77777777" w:rsidR="008F2873" w:rsidRDefault="008F2873" w:rsidP="008F2873">
      <w:pPr>
        <w:pStyle w:val="NormalWeb"/>
        <w:numPr>
          <w:ilvl w:val="1"/>
          <w:numId w:val="7"/>
        </w:numPr>
        <w:spacing w:line="480" w:lineRule="auto"/>
      </w:pPr>
      <w:r>
        <w:t>Problemas de transporte → Probabilidad: Alta / Impacto: Medio.</w:t>
      </w:r>
    </w:p>
    <w:p w14:paraId="0D708F13" w14:textId="77777777" w:rsidR="008F2873" w:rsidRDefault="008F2873" w:rsidP="008F2873">
      <w:pPr>
        <w:pStyle w:val="NormalWeb"/>
      </w:pPr>
      <w:r>
        <w:rPr>
          <w:rStyle w:val="Textoennegrita"/>
        </w:rPr>
        <w:t>4. Matriz de riesgos (ejemplo de tabla)</w:t>
      </w:r>
    </w:p>
    <w:tbl>
      <w:tblPr>
        <w:tblStyle w:val="APA7"/>
        <w:tblW w:w="0" w:type="auto"/>
        <w:tblLook w:val="04A0" w:firstRow="1" w:lastRow="0" w:firstColumn="1" w:lastColumn="0" w:noHBand="0" w:noVBand="1"/>
      </w:tblPr>
      <w:tblGrid>
        <w:gridCol w:w="1376"/>
        <w:gridCol w:w="1722"/>
        <w:gridCol w:w="1424"/>
        <w:gridCol w:w="981"/>
        <w:gridCol w:w="1853"/>
        <w:gridCol w:w="1482"/>
      </w:tblGrid>
      <w:tr w:rsidR="008F2873" w:rsidRPr="00293CF4" w14:paraId="651B3590" w14:textId="77777777" w:rsidTr="008A01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43" w:type="dxa"/>
            <w:hideMark/>
          </w:tcPr>
          <w:p w14:paraId="322D7617" w14:textId="77777777" w:rsidR="008F2873" w:rsidRPr="00293CF4" w:rsidRDefault="008F2873" w:rsidP="008A01E3">
            <w:pPr>
              <w:jc w:val="center"/>
              <w:rPr>
                <w:b/>
                <w:bCs/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Tipo de riesgo</w:t>
            </w:r>
          </w:p>
        </w:tc>
        <w:tc>
          <w:tcPr>
            <w:tcW w:w="1438" w:type="dxa"/>
            <w:hideMark/>
          </w:tcPr>
          <w:p w14:paraId="15180DF3" w14:textId="77777777" w:rsidR="008F2873" w:rsidRPr="00293CF4" w:rsidRDefault="008F2873" w:rsidP="008A01E3">
            <w:pPr>
              <w:jc w:val="center"/>
              <w:rPr>
                <w:b/>
                <w:bCs/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Descripción del riesgo</w:t>
            </w:r>
          </w:p>
        </w:tc>
        <w:tc>
          <w:tcPr>
            <w:tcW w:w="0" w:type="auto"/>
            <w:hideMark/>
          </w:tcPr>
          <w:p w14:paraId="56DBE297" w14:textId="77777777" w:rsidR="008F2873" w:rsidRPr="00293CF4" w:rsidRDefault="008F2873" w:rsidP="008A01E3">
            <w:pPr>
              <w:jc w:val="center"/>
              <w:rPr>
                <w:b/>
                <w:bCs/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Probabilidad</w:t>
            </w:r>
          </w:p>
        </w:tc>
        <w:tc>
          <w:tcPr>
            <w:tcW w:w="0" w:type="auto"/>
            <w:hideMark/>
          </w:tcPr>
          <w:p w14:paraId="4C90A75A" w14:textId="77777777" w:rsidR="008F2873" w:rsidRPr="00293CF4" w:rsidRDefault="008F2873" w:rsidP="008A01E3">
            <w:pPr>
              <w:jc w:val="center"/>
              <w:rPr>
                <w:b/>
                <w:bCs/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Impacto</w:t>
            </w:r>
          </w:p>
        </w:tc>
        <w:tc>
          <w:tcPr>
            <w:tcW w:w="0" w:type="auto"/>
            <w:hideMark/>
          </w:tcPr>
          <w:p w14:paraId="64710222" w14:textId="77777777" w:rsidR="008F2873" w:rsidRPr="00293CF4" w:rsidRDefault="008F2873" w:rsidP="008A01E3">
            <w:pPr>
              <w:jc w:val="center"/>
              <w:rPr>
                <w:b/>
                <w:bCs/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Estrategia de mitigación / respuesta</w:t>
            </w:r>
          </w:p>
        </w:tc>
        <w:tc>
          <w:tcPr>
            <w:tcW w:w="0" w:type="auto"/>
            <w:hideMark/>
          </w:tcPr>
          <w:p w14:paraId="5E6BB568" w14:textId="77777777" w:rsidR="008F2873" w:rsidRPr="00293CF4" w:rsidRDefault="008F2873" w:rsidP="008A01E3">
            <w:pPr>
              <w:jc w:val="center"/>
              <w:rPr>
                <w:b/>
                <w:bCs/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Responsable</w:t>
            </w:r>
          </w:p>
        </w:tc>
      </w:tr>
      <w:tr w:rsidR="008F2873" w:rsidRPr="00293CF4" w14:paraId="17FD3A44" w14:textId="77777777" w:rsidTr="008A01E3">
        <w:tc>
          <w:tcPr>
            <w:tcW w:w="1843" w:type="dxa"/>
            <w:hideMark/>
          </w:tcPr>
          <w:p w14:paraId="5FE2CCE5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Técnico-operativo</w:t>
            </w:r>
          </w:p>
        </w:tc>
        <w:tc>
          <w:tcPr>
            <w:tcW w:w="1438" w:type="dxa"/>
            <w:hideMark/>
          </w:tcPr>
          <w:p w14:paraId="1ADB6980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Retrasos en la ejecución por limitaciones logísticas o tecnológicas en zonas rurales.</w:t>
            </w:r>
          </w:p>
        </w:tc>
        <w:tc>
          <w:tcPr>
            <w:tcW w:w="0" w:type="auto"/>
            <w:hideMark/>
          </w:tcPr>
          <w:p w14:paraId="6E6B1416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Alta</w:t>
            </w:r>
          </w:p>
        </w:tc>
        <w:tc>
          <w:tcPr>
            <w:tcW w:w="0" w:type="auto"/>
            <w:hideMark/>
          </w:tcPr>
          <w:p w14:paraId="1CEE7FDD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Alta</w:t>
            </w:r>
          </w:p>
        </w:tc>
        <w:tc>
          <w:tcPr>
            <w:tcW w:w="0" w:type="auto"/>
            <w:hideMark/>
          </w:tcPr>
          <w:p w14:paraId="04ABFC1C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Planificar con tiempos de holgura y cronogramas flexibles; uso de medios locales alternativos (radio, mensajería).</w:t>
            </w:r>
          </w:p>
        </w:tc>
        <w:tc>
          <w:tcPr>
            <w:tcW w:w="0" w:type="auto"/>
            <w:hideMark/>
          </w:tcPr>
          <w:p w14:paraId="54F361D6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Coordinador técnico y municipal</w:t>
            </w:r>
          </w:p>
        </w:tc>
      </w:tr>
      <w:tr w:rsidR="008F2873" w:rsidRPr="00293CF4" w14:paraId="4B2DFD7C" w14:textId="77777777" w:rsidTr="008A01E3">
        <w:tc>
          <w:tcPr>
            <w:tcW w:w="1843" w:type="dxa"/>
            <w:hideMark/>
          </w:tcPr>
          <w:p w14:paraId="68B10F47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Institucional</w:t>
            </w:r>
          </w:p>
        </w:tc>
        <w:tc>
          <w:tcPr>
            <w:tcW w:w="1438" w:type="dxa"/>
            <w:hideMark/>
          </w:tcPr>
          <w:p w14:paraId="6BA4090E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Cambios en funcionarios o baja coordinación entre entidades.</w:t>
            </w:r>
          </w:p>
        </w:tc>
        <w:tc>
          <w:tcPr>
            <w:tcW w:w="0" w:type="auto"/>
            <w:hideMark/>
          </w:tcPr>
          <w:p w14:paraId="0EFC5E5E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Media</w:t>
            </w:r>
          </w:p>
        </w:tc>
        <w:tc>
          <w:tcPr>
            <w:tcW w:w="0" w:type="auto"/>
            <w:hideMark/>
          </w:tcPr>
          <w:p w14:paraId="02BCEE6E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Alta</w:t>
            </w:r>
          </w:p>
        </w:tc>
        <w:tc>
          <w:tcPr>
            <w:tcW w:w="0" w:type="auto"/>
            <w:hideMark/>
          </w:tcPr>
          <w:p w14:paraId="2513A0DE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Formalizar acuerdos interinstitucionales y definir responsables permanentes.</w:t>
            </w:r>
          </w:p>
        </w:tc>
        <w:tc>
          <w:tcPr>
            <w:tcW w:w="0" w:type="auto"/>
            <w:hideMark/>
          </w:tcPr>
          <w:p w14:paraId="7D0F333F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Secretaría de Cultura Departamental</w:t>
            </w:r>
          </w:p>
        </w:tc>
      </w:tr>
      <w:tr w:rsidR="008F2873" w:rsidRPr="00293CF4" w14:paraId="064202EA" w14:textId="77777777" w:rsidTr="008A01E3">
        <w:tc>
          <w:tcPr>
            <w:tcW w:w="1843" w:type="dxa"/>
            <w:hideMark/>
          </w:tcPr>
          <w:p w14:paraId="3E6252CB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Social-cultural</w:t>
            </w:r>
          </w:p>
        </w:tc>
        <w:tc>
          <w:tcPr>
            <w:tcW w:w="1438" w:type="dxa"/>
            <w:hideMark/>
          </w:tcPr>
          <w:p w14:paraId="5D0EF9EE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Resistencia comunitaria por desconfianza hacia las entidades.</w:t>
            </w:r>
          </w:p>
        </w:tc>
        <w:tc>
          <w:tcPr>
            <w:tcW w:w="0" w:type="auto"/>
            <w:hideMark/>
          </w:tcPr>
          <w:p w14:paraId="2297048B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Media</w:t>
            </w:r>
          </w:p>
        </w:tc>
        <w:tc>
          <w:tcPr>
            <w:tcW w:w="0" w:type="auto"/>
            <w:hideMark/>
          </w:tcPr>
          <w:p w14:paraId="1695FD40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Alta</w:t>
            </w:r>
          </w:p>
        </w:tc>
        <w:tc>
          <w:tcPr>
            <w:tcW w:w="0" w:type="auto"/>
            <w:hideMark/>
          </w:tcPr>
          <w:p w14:paraId="13212EEF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Incluir sabedores en todas las etapas; realizar asambleas de socialización y validación.</w:t>
            </w:r>
          </w:p>
        </w:tc>
        <w:tc>
          <w:tcPr>
            <w:tcW w:w="0" w:type="auto"/>
            <w:hideMark/>
          </w:tcPr>
          <w:p w14:paraId="7B124084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Comité comunitario</w:t>
            </w:r>
          </w:p>
        </w:tc>
      </w:tr>
      <w:tr w:rsidR="008F2873" w:rsidRPr="00293CF4" w14:paraId="2EAAA83A" w14:textId="77777777" w:rsidTr="008A01E3">
        <w:tc>
          <w:tcPr>
            <w:tcW w:w="1843" w:type="dxa"/>
            <w:hideMark/>
          </w:tcPr>
          <w:p w14:paraId="2D768155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Social-cultural</w:t>
            </w:r>
          </w:p>
        </w:tc>
        <w:tc>
          <w:tcPr>
            <w:tcW w:w="1438" w:type="dxa"/>
            <w:hideMark/>
          </w:tcPr>
          <w:p w14:paraId="364C67CE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Falta de participación de mujeres y jóvenes en los procesos.</w:t>
            </w:r>
          </w:p>
        </w:tc>
        <w:tc>
          <w:tcPr>
            <w:tcW w:w="0" w:type="auto"/>
            <w:hideMark/>
          </w:tcPr>
          <w:p w14:paraId="2C372014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Media</w:t>
            </w:r>
          </w:p>
        </w:tc>
        <w:tc>
          <w:tcPr>
            <w:tcW w:w="0" w:type="auto"/>
            <w:hideMark/>
          </w:tcPr>
          <w:p w14:paraId="59D67BBA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Media</w:t>
            </w:r>
          </w:p>
        </w:tc>
        <w:tc>
          <w:tcPr>
            <w:tcW w:w="0" w:type="auto"/>
            <w:hideMark/>
          </w:tcPr>
          <w:p w14:paraId="14556DF5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Diseñar actividades diferenciadas e inclusivas; promover vocerías diversas.</w:t>
            </w:r>
          </w:p>
        </w:tc>
        <w:tc>
          <w:tcPr>
            <w:tcW w:w="0" w:type="auto"/>
            <w:hideMark/>
          </w:tcPr>
          <w:p w14:paraId="2C680C3F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Coordinador de inclusión cultural</w:t>
            </w:r>
          </w:p>
        </w:tc>
      </w:tr>
      <w:tr w:rsidR="008F2873" w:rsidRPr="00293CF4" w14:paraId="49E32D04" w14:textId="77777777" w:rsidTr="008A01E3">
        <w:tc>
          <w:tcPr>
            <w:tcW w:w="1843" w:type="dxa"/>
            <w:hideMark/>
          </w:tcPr>
          <w:p w14:paraId="64047CA7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Ambiental-territorial</w:t>
            </w:r>
          </w:p>
        </w:tc>
        <w:tc>
          <w:tcPr>
            <w:tcW w:w="1438" w:type="dxa"/>
            <w:hideMark/>
          </w:tcPr>
          <w:p w14:paraId="1B2F0CBB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 xml:space="preserve">Interrupción de actividades por lluvias, inundaciones o </w:t>
            </w:r>
            <w:r w:rsidRPr="00293CF4">
              <w:rPr>
                <w:lang w:eastAsia="es-CO"/>
              </w:rPr>
              <w:lastRenderedPageBreak/>
              <w:t>fallas de transporte.</w:t>
            </w:r>
          </w:p>
        </w:tc>
        <w:tc>
          <w:tcPr>
            <w:tcW w:w="0" w:type="auto"/>
            <w:hideMark/>
          </w:tcPr>
          <w:p w14:paraId="77081149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lastRenderedPageBreak/>
              <w:t>Alta</w:t>
            </w:r>
          </w:p>
        </w:tc>
        <w:tc>
          <w:tcPr>
            <w:tcW w:w="0" w:type="auto"/>
            <w:hideMark/>
          </w:tcPr>
          <w:p w14:paraId="0B8C15EF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Media</w:t>
            </w:r>
          </w:p>
        </w:tc>
        <w:tc>
          <w:tcPr>
            <w:tcW w:w="0" w:type="auto"/>
            <w:hideMark/>
          </w:tcPr>
          <w:p w14:paraId="18322168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 xml:space="preserve">Planificar rutas alternas, prever transporte fluvial y establecer </w:t>
            </w:r>
            <w:r w:rsidRPr="00293CF4">
              <w:rPr>
                <w:lang w:eastAsia="es-CO"/>
              </w:rPr>
              <w:lastRenderedPageBreak/>
              <w:t>cronogramas adaptativos.</w:t>
            </w:r>
          </w:p>
        </w:tc>
        <w:tc>
          <w:tcPr>
            <w:tcW w:w="0" w:type="auto"/>
            <w:hideMark/>
          </w:tcPr>
          <w:p w14:paraId="5638535E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lastRenderedPageBreak/>
              <w:t>Comité logístico</w:t>
            </w:r>
          </w:p>
        </w:tc>
      </w:tr>
      <w:tr w:rsidR="008F2873" w:rsidRPr="00293CF4" w14:paraId="3529BA8E" w14:textId="77777777" w:rsidTr="008A01E3">
        <w:tc>
          <w:tcPr>
            <w:tcW w:w="1843" w:type="dxa"/>
            <w:hideMark/>
          </w:tcPr>
          <w:p w14:paraId="2B42D390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Financiero</w:t>
            </w:r>
          </w:p>
        </w:tc>
        <w:tc>
          <w:tcPr>
            <w:tcW w:w="1438" w:type="dxa"/>
            <w:hideMark/>
          </w:tcPr>
          <w:p w14:paraId="3DBAFE60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Retrasos en desembolsos o falta de cofinanciación.</w:t>
            </w:r>
          </w:p>
        </w:tc>
        <w:tc>
          <w:tcPr>
            <w:tcW w:w="0" w:type="auto"/>
            <w:hideMark/>
          </w:tcPr>
          <w:p w14:paraId="49BD7228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Media</w:t>
            </w:r>
          </w:p>
        </w:tc>
        <w:tc>
          <w:tcPr>
            <w:tcW w:w="0" w:type="auto"/>
            <w:hideMark/>
          </w:tcPr>
          <w:p w14:paraId="03D134BD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Alta</w:t>
            </w:r>
          </w:p>
        </w:tc>
        <w:tc>
          <w:tcPr>
            <w:tcW w:w="0" w:type="auto"/>
            <w:hideMark/>
          </w:tcPr>
          <w:p w14:paraId="0BE0DFB9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Acordar cronograma de pagos por hitos y gestionar aportes complementarios.</w:t>
            </w:r>
          </w:p>
        </w:tc>
        <w:tc>
          <w:tcPr>
            <w:tcW w:w="0" w:type="auto"/>
            <w:hideMark/>
          </w:tcPr>
          <w:p w14:paraId="4CF3845D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Comité financiero</w:t>
            </w:r>
          </w:p>
        </w:tc>
      </w:tr>
      <w:tr w:rsidR="008F2873" w:rsidRPr="00293CF4" w14:paraId="025E69B0" w14:textId="77777777" w:rsidTr="008A01E3">
        <w:tc>
          <w:tcPr>
            <w:tcW w:w="1843" w:type="dxa"/>
            <w:hideMark/>
          </w:tcPr>
          <w:p w14:paraId="1CE69A1A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rFonts w:eastAsiaTheme="majorEastAsia"/>
                <w:b/>
                <w:bCs/>
                <w:lang w:eastAsia="es-CO"/>
              </w:rPr>
              <w:t>Cultural-simbólico</w:t>
            </w:r>
          </w:p>
        </w:tc>
        <w:tc>
          <w:tcPr>
            <w:tcW w:w="1438" w:type="dxa"/>
            <w:hideMark/>
          </w:tcPr>
          <w:p w14:paraId="55B299FB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Desconocimiento o tergiversación de saberes locales.</w:t>
            </w:r>
          </w:p>
        </w:tc>
        <w:tc>
          <w:tcPr>
            <w:tcW w:w="0" w:type="auto"/>
            <w:hideMark/>
          </w:tcPr>
          <w:p w14:paraId="3FCA1769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Baja</w:t>
            </w:r>
          </w:p>
        </w:tc>
        <w:tc>
          <w:tcPr>
            <w:tcW w:w="0" w:type="auto"/>
            <w:hideMark/>
          </w:tcPr>
          <w:p w14:paraId="46F10032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Alta</w:t>
            </w:r>
          </w:p>
        </w:tc>
        <w:tc>
          <w:tcPr>
            <w:tcW w:w="0" w:type="auto"/>
            <w:hideMark/>
          </w:tcPr>
          <w:p w14:paraId="26A14AF8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Validar contenidos con sabedores y comunidades antes de su publicación.</w:t>
            </w:r>
          </w:p>
        </w:tc>
        <w:tc>
          <w:tcPr>
            <w:tcW w:w="0" w:type="auto"/>
            <w:hideMark/>
          </w:tcPr>
          <w:p w14:paraId="14C5C68A" w14:textId="77777777" w:rsidR="008F2873" w:rsidRPr="00293CF4" w:rsidRDefault="008F2873" w:rsidP="008A01E3">
            <w:pPr>
              <w:rPr>
                <w:lang w:eastAsia="es-CO"/>
              </w:rPr>
            </w:pPr>
            <w:r w:rsidRPr="00293CF4">
              <w:rPr>
                <w:lang w:eastAsia="es-CO"/>
              </w:rPr>
              <w:t>Coordinador cultural y comité de sabedores</w:t>
            </w:r>
          </w:p>
        </w:tc>
      </w:tr>
    </w:tbl>
    <w:p w14:paraId="7B093856" w14:textId="77777777" w:rsidR="008F2873" w:rsidRDefault="008F2873" w:rsidP="008F2873">
      <w:pPr>
        <w:pStyle w:val="NormalWeb"/>
        <w:spacing w:line="480" w:lineRule="auto"/>
      </w:pPr>
      <w:r>
        <w:rPr>
          <w:rStyle w:val="Textoennegrita"/>
        </w:rPr>
        <w:t>5. Estrategias generales de mitigación</w:t>
      </w:r>
    </w:p>
    <w:p w14:paraId="2BC32C50" w14:textId="77777777" w:rsidR="008F2873" w:rsidRDefault="008F2873" w:rsidP="008F2873">
      <w:pPr>
        <w:pStyle w:val="NormalWeb"/>
        <w:numPr>
          <w:ilvl w:val="0"/>
          <w:numId w:val="8"/>
        </w:numPr>
        <w:spacing w:line="480" w:lineRule="auto"/>
      </w:pPr>
      <w:r>
        <w:rPr>
          <w:rStyle w:val="Textoennegrita"/>
        </w:rPr>
        <w:t>Explicación:</w:t>
      </w:r>
      <w:r>
        <w:t xml:space="preserve"> Medidas transversales para reducir los riesgos en todo el proyecto.</w:t>
      </w:r>
    </w:p>
    <w:p w14:paraId="7987C736" w14:textId="77777777" w:rsidR="008F2873" w:rsidRDefault="008F2873" w:rsidP="008F2873">
      <w:pPr>
        <w:pStyle w:val="NormalWeb"/>
        <w:numPr>
          <w:ilvl w:val="0"/>
          <w:numId w:val="8"/>
        </w:numPr>
        <w:spacing w:line="480" w:lineRule="auto"/>
      </w:pPr>
      <w:r>
        <w:rPr>
          <w:rStyle w:val="Textoennegrita"/>
        </w:rPr>
        <w:t>Ejemplo:</w:t>
      </w:r>
    </w:p>
    <w:p w14:paraId="68F24DC3" w14:textId="77777777" w:rsidR="008F2873" w:rsidRDefault="008F2873" w:rsidP="008F2873">
      <w:pPr>
        <w:pStyle w:val="NormalWeb"/>
        <w:numPr>
          <w:ilvl w:val="1"/>
          <w:numId w:val="8"/>
        </w:numPr>
        <w:spacing w:line="480" w:lineRule="auto"/>
      </w:pPr>
      <w:r>
        <w:t>Planificar actividades con participación previa de las comunidades.</w:t>
      </w:r>
    </w:p>
    <w:p w14:paraId="329E2874" w14:textId="77777777" w:rsidR="008F2873" w:rsidRDefault="008F2873" w:rsidP="008F2873">
      <w:pPr>
        <w:pStyle w:val="NormalWeb"/>
        <w:numPr>
          <w:ilvl w:val="1"/>
          <w:numId w:val="8"/>
        </w:numPr>
        <w:spacing w:line="480" w:lineRule="auto"/>
      </w:pPr>
      <w:r>
        <w:t>Mantener comunicación constante con instituciones financiadoras.</w:t>
      </w:r>
    </w:p>
    <w:p w14:paraId="7882B238" w14:textId="77777777" w:rsidR="008F2873" w:rsidRDefault="008F2873" w:rsidP="008F2873">
      <w:pPr>
        <w:pStyle w:val="NormalWeb"/>
        <w:numPr>
          <w:ilvl w:val="1"/>
          <w:numId w:val="8"/>
        </w:numPr>
        <w:spacing w:line="480" w:lineRule="auto"/>
      </w:pPr>
      <w:r>
        <w:t>Diseñar cronogramas flexibles que respeten los tiempos culturales.</w:t>
      </w:r>
    </w:p>
    <w:p w14:paraId="217AC92B" w14:textId="77777777" w:rsidR="006F7F1F" w:rsidRPr="008F2873" w:rsidRDefault="006F7F1F" w:rsidP="008F2873"/>
    <w:sectPr w:rsidR="006F7F1F" w:rsidRPr="008F28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E056C" w14:textId="77777777" w:rsidR="001F5533" w:rsidRDefault="001F5533" w:rsidP="00F00AD4">
      <w:pPr>
        <w:spacing w:after="0" w:line="240" w:lineRule="auto"/>
      </w:pPr>
      <w:r>
        <w:separator/>
      </w:r>
    </w:p>
  </w:endnote>
  <w:endnote w:type="continuationSeparator" w:id="0">
    <w:p w14:paraId="11814897" w14:textId="77777777" w:rsidR="001F5533" w:rsidRDefault="001F5533" w:rsidP="00F00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8B83" w14:textId="77777777" w:rsidR="00F00AD4" w:rsidRDefault="00F00A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16F69" w14:textId="77777777" w:rsidR="00F00AD4" w:rsidRDefault="00F00AD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0B254" w14:textId="77777777" w:rsidR="00F00AD4" w:rsidRDefault="00F00A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E6B52" w14:textId="77777777" w:rsidR="001F5533" w:rsidRDefault="001F5533" w:rsidP="00F00AD4">
      <w:pPr>
        <w:spacing w:after="0" w:line="240" w:lineRule="auto"/>
      </w:pPr>
      <w:r>
        <w:separator/>
      </w:r>
    </w:p>
  </w:footnote>
  <w:footnote w:type="continuationSeparator" w:id="0">
    <w:p w14:paraId="251EDEF9" w14:textId="77777777" w:rsidR="001F5533" w:rsidRDefault="001F5533" w:rsidP="00F00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D5C4E" w14:textId="77777777" w:rsidR="00F00AD4" w:rsidRDefault="00F00A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DB49" w14:textId="77777777" w:rsidR="00F00AD4" w:rsidRDefault="00F00AD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FD702" w14:textId="77777777" w:rsidR="00F00AD4" w:rsidRDefault="00F00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47EC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3328B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4709B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843E6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61595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DC27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AF730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06627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F1F"/>
    <w:rsid w:val="000B3865"/>
    <w:rsid w:val="001F5533"/>
    <w:rsid w:val="006F7F1F"/>
    <w:rsid w:val="008F2873"/>
    <w:rsid w:val="00F0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EDD76"/>
  <w15:chartTrackingRefBased/>
  <w15:docId w15:val="{93B743D1-D3BD-1E4D-AD62-A1E53E7B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7F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7F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7F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7F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7F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7F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7F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7F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7F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7F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7F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7F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7F1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7F1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7F1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7F1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7F1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7F1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7F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7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7F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7F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7F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7F1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7F1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7F1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7F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7F1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7F1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6F7F1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Textoennegrita">
    <w:name w:val="Strong"/>
    <w:basedOn w:val="Fuentedeprrafopredeter"/>
    <w:uiPriority w:val="22"/>
    <w:qFormat/>
    <w:rsid w:val="006F7F1F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F00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0AD4"/>
  </w:style>
  <w:style w:type="paragraph" w:styleId="Piedepgina">
    <w:name w:val="footer"/>
    <w:basedOn w:val="Normal"/>
    <w:link w:val="PiedepginaCar"/>
    <w:uiPriority w:val="99"/>
    <w:unhideWhenUsed/>
    <w:rsid w:val="00F00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0AD4"/>
  </w:style>
  <w:style w:type="table" w:customStyle="1" w:styleId="APA7">
    <w:name w:val="APA 7"/>
    <w:basedOn w:val="Tablanormal"/>
    <w:uiPriority w:val="99"/>
    <w:rsid w:val="008F2873"/>
    <w:pPr>
      <w:spacing w:after="0" w:line="240" w:lineRule="auto"/>
    </w:pPr>
    <w:rPr>
      <w:rFonts w:ascii="Times New Roman" w:eastAsia="Times New Roman" w:hAnsi="Times New Roman" w:cs="Times New Roman"/>
      <w:kern w:val="0"/>
      <w:lang w:eastAsia="es-ES"/>
      <w14:ligatures w14:val="none"/>
    </w:rPr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15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476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YEIDER GERARDO ARBOLEDA IBARGUEN</dc:creator>
  <cp:keywords/>
  <dc:description/>
  <cp:lastModifiedBy>paola fernanda viveros posso</cp:lastModifiedBy>
  <cp:revision>4</cp:revision>
  <dcterms:created xsi:type="dcterms:W3CDTF">2025-09-16T15:24:00Z</dcterms:created>
  <dcterms:modified xsi:type="dcterms:W3CDTF">2025-10-06T01:48:00Z</dcterms:modified>
</cp:coreProperties>
</file>